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81"/>
        <w:gridCol w:w="1080"/>
        <w:gridCol w:w="1122"/>
        <w:gridCol w:w="1325"/>
      </w:tblGrid>
      <w:tr w:rsidR="00A475D5" w:rsidRPr="00854E2A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854E2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54E2A">
              <w:rPr>
                <w:lang w:val="el-GR"/>
              </w:rPr>
              <w:t xml:space="preserve"> </w:t>
            </w:r>
            <w:r w:rsidRPr="00854E2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Συσκευή ταχείας μεταφοράς πρωτεϊνών</w:t>
            </w:r>
          </w:p>
        </w:tc>
      </w:tr>
      <w:tr w:rsidR="00A475D5" w:rsidRPr="004E67E9" w:rsidTr="00854E2A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68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854E2A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68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854E2A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54E2A" w:rsidRPr="004E67E9" w:rsidTr="00854E2A">
        <w:trPr>
          <w:trHeight w:val="428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επιτρέπει την ολοκλήρωση της μεταφοράς πρωτεϊνών σε μεμβράνες εντός χρονικού διαστήματος τριών (3) λεπτών.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54E2A" w:rsidRPr="004E67E9" w:rsidTr="00854E2A">
        <w:trPr>
          <w:trHeight w:val="56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περιλαμβάνει το βασικό όργανο για τη μεταφορά μαζί με δύο τουλάχιστον κασέτες, καθεμία από τις οποίες να έχει ενσωματωμένα ηλεκτρόδια ανόδου και καθόδου.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54E2A" w:rsidRPr="004E67E9" w:rsidTr="00854E2A">
        <w:trPr>
          <w:trHeight w:val="54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συνοδεύεται από δικό της ενσωματωμένο ή αυτόνομο τροφοδοτικό ηλεκτρικού ρεύματος.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54E2A" w:rsidRPr="004E67E9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Η καθεμία κασέτα να έχει χωρητικότητα προς μεταφορά είτε μίας πηκτής διαστάσεων 8.5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13.5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cm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είτε μίας, είτε δύο πηκτών διαστάσεων 7.0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8.5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cm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54E2A" w:rsidRPr="004E67E9" w:rsidTr="00854E2A">
        <w:trPr>
          <w:trHeight w:val="521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H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κασέτα να κλείνει με ειδική ασφάλεια ώστε να εξασφαλίζεται η απρόσκοπτη μεταφορά των πρωτεϊνών από την πηκτή στη μεμβράνη.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54E2A" w:rsidRPr="004E67E9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Να διατίθεται από τον κατασκευαστή της συσκευής τόσο μεμβράνη νιτροκυτταρίνης με διάμετρο πόρων 0,2μ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m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όσο και μεμβράνη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PVDF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με διάμετρο πόρων 0,2μ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m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0,45 μ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m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. Όλες οι διατιθέμενες μεμβράνες θα πρέπει να είναι εγκεκριμένες από τον κατασκευαστή για χρήση με τη συσκευή.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διατίθενται επίσης από τον κατασκευαστή της συσκευής όλα τα αντιδραστήρια που απαιτούνται για τη βέλτιστη λειτουργία της συσκευής. Να γίνει σχετική αναφορά στην προσφορά.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Η συσκευή να δύναται να χρησιμοποιείται με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gels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τεχνολογίας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stain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free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του ίδιου κατασκευαστή για πλήρη συμβατότητα και βέλτιστο αποτέλεσμα.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επιτρέπεται η ταυτόχρονη ή μη μεταφορά πρωτεϊνών σε όλες τις κασέτες που μπορεί να δεχτεί το όργανο υπό τις ίδιες πειραματικές συνθήκες. 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διαθέτει μνήμη για την αποθήκευση τουλάχιστον 10 προγραμμάτων μεταφοράς.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N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α διαθέτει προγραμματισμένα από το εργοστάσιο κατασκευής πρωτόκολλα μεταφοράς ανάλογα με τα μοριακά βάρη των πρωτεϊνών, το πάχος της πηκτής και για έτοιμες πηκτές.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12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διαθέτει ικανότητα προγραμματισμού και αποθήκευσης και νέων πρωτοκόλλων από το χρήστη.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διαθέτει διατάξεις ασφαλείας οι οποίες θα προειδοποιούν το χρήστη για τα ακόλουθα: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</w:r>
            <w:proofErr w:type="spellStart"/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i</w:t>
            </w:r>
            <w:proofErr w:type="spellEnd"/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. Πτώση τάσης ηλεκτρικού ρεύματος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ii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. Ανίχνευση μη ύπαρξης φορτίου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iii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. Ανίχνευση ύπαρξης κασετών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iv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. Ανίχνευση ορίου σε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watt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hr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διαθέτει οθόνη διαστάσεων τουλάχιστον 120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60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pixel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και πλήκτρα ειδικών λειτουργιών για τον προγραμματισμό της συσκευής.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T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ο ηλεκτρόδιο της καθόδου να είναι κατασκευασμένο από ανοξείδωτο χάλυβα και της ανόδου από κράμα πλατίνας - τιτανίου.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Να διαθέτει ηχητικό σήμα που να δηλώνει την ολοκλήρωση της πειραματικής διεξαγωγής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Οι συνθήκες της μεταφοράς να κυμαίνονται μεταξύ 1 – 25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V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(με αυξομειώσεις του 1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V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) και 1 – 2.5 Α (με αυξομειώσεις του 0.1 Α).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Οι συνθήκες λειτουργίας του οργάνου να είναι 15 – 31ο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C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θερμοκρασία περιβάλλοντος και 0 – 95% σχετική υγρασία.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4E67E9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Τάση</w:t>
            </w:r>
            <w:proofErr w:type="spellEnd"/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λειτουργί</w:t>
            </w:r>
            <w:proofErr w:type="spellEnd"/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ας: 220V / 50Hz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Να φέρει σήμανση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CE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</w:rPr>
              <w:t>Mark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F152ED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left"/>
              <w:rPr>
                <w:rFonts w:cs="Times New Roman"/>
                <w:b/>
                <w:szCs w:val="22"/>
                <w:lang w:val="el-GR" w:eastAsia="el-GR"/>
              </w:rPr>
            </w:pPr>
            <w:r>
              <w:rPr>
                <w:b/>
                <w:szCs w:val="22"/>
                <w:lang w:val="en-US"/>
              </w:rPr>
              <w:t xml:space="preserve">                             </w:t>
            </w:r>
            <w:bookmarkStart w:id="0" w:name="_GoBack"/>
            <w:bookmarkEnd w:id="0"/>
            <w:r w:rsidRPr="00854E2A">
              <w:rPr>
                <w:b/>
                <w:szCs w:val="22"/>
                <w:lang w:val="el-GR"/>
              </w:rPr>
              <w:t>ΓΕΝΙΚΑ</w:t>
            </w:r>
            <w:r w:rsidRPr="00854E2A">
              <w:rPr>
                <w:b/>
                <w:szCs w:val="22"/>
                <w:lang w:val="el-GR"/>
              </w:rPr>
              <w:br/>
            </w:r>
            <w:r w:rsidRPr="00854E2A">
              <w:rPr>
                <w:b/>
                <w:szCs w:val="22"/>
                <w:lang w:val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 προμηθευτής και ο κατασκευαστής της συσκευής θα πρέπει να είναι πιστοποιημένοι βάσει προτύπου διασφάλισης ποιότητας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ISO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-9001 ή 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ISO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-13485, ή αντίστοιχο. Να κατατεθούν τα σχετικά πιστοποιητικά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Χρόνος παράδοσης: εντός 30 ημερών.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 καλής λειτουργίας: ένα (1) έτος.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 συσκευή να προσφερθεί πλήρης και έτοιμη για λειτουργία.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25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Οι ανωτέρω προδιαγραφές είναι υποχρεωτικές και πρέπει να καλύπτονται κατ’ ελάχιστο.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26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απαντηθούν υποχρεωτικά μια προς μία οι ανωτέρω τεχνικές προδιαγραφές σε ξεχωριστό φύλλο συμμόρφωσης.</w:t>
            </w:r>
            <w:r w:rsidRPr="00854E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854E2A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27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54E2A">
              <w:rPr>
                <w:rFonts w:ascii="Tahoma" w:hAnsi="Tahoma" w:cs="Tahoma"/>
                <w:sz w:val="18"/>
                <w:szCs w:val="18"/>
                <w:lang w:val="el-GR"/>
              </w:rPr>
              <w:t xml:space="preserve">Τα στοιχεία του φύλλου συμμόρφωσης να αναφέρονται υποχρεωτικά σε </w:t>
            </w:r>
            <w:proofErr w:type="spellStart"/>
            <w:r w:rsidRPr="00854E2A">
              <w:rPr>
                <w:rFonts w:ascii="Tahoma" w:hAnsi="Tahoma" w:cs="Tahoma"/>
                <w:sz w:val="18"/>
                <w:szCs w:val="18"/>
                <w:lang w:val="el-GR"/>
              </w:rPr>
              <w:t>προσπέκτους</w:t>
            </w:r>
            <w:proofErr w:type="spellEnd"/>
            <w:r w:rsidRPr="00854E2A">
              <w:rPr>
                <w:rFonts w:ascii="Tahoma" w:hAnsi="Tahoma" w:cs="Tahoma"/>
                <w:sz w:val="18"/>
                <w:szCs w:val="18"/>
                <w:lang w:val="el-GR"/>
              </w:rPr>
              <w:t xml:space="preserve"> του κατασκευαστικού οίκου τα οποία να συμπεριλαμβάνονται στην τεχνική προσφορά και να αναφέρεται σε κάθε μία παράγραφο του φύλλου συμμόρφωσης η τυχόν απόκλιση από τις ζητούμενες προδιαγραφές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54E2A" w:rsidRPr="004E67E9" w:rsidTr="00854E2A">
        <w:trPr>
          <w:trHeight w:val="330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28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4E2A" w:rsidRPr="00854E2A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4E2A" w:rsidRPr="004E67E9" w:rsidRDefault="00854E2A" w:rsidP="00854E2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854E2A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771C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9CDB969F</Template>
  <TotalTime>0</TotalTime>
  <Pages>3</Pages>
  <Words>592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2025-12-09T11:13:00Z</dcterms:created>
  <dcterms:modified xsi:type="dcterms:W3CDTF">2025-12-09T11:13:00Z</dcterms:modified>
</cp:coreProperties>
</file>